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41148" w14:textId="77777777" w:rsidR="00194B3F" w:rsidRPr="00194B3F" w:rsidRDefault="00194B3F" w:rsidP="00194B3F">
      <w:pPr>
        <w:rPr>
          <w:rFonts w:ascii="Times New Roman" w:hAnsi="Times New Roman" w:cs="Times New Roman"/>
          <w:b/>
          <w:bCs/>
          <w:sz w:val="32"/>
          <w:szCs w:val="32"/>
        </w:rPr>
      </w:pPr>
      <w:r w:rsidRPr="00194B3F">
        <w:rPr>
          <w:rFonts w:ascii="Times New Roman" w:hAnsi="Times New Roman" w:cs="Times New Roman"/>
          <w:b/>
          <w:bCs/>
          <w:sz w:val="32"/>
          <w:szCs w:val="32"/>
        </w:rPr>
        <w:t xml:space="preserve">Property Settlement/Equitable Distribution </w:t>
      </w:r>
    </w:p>
    <w:p w14:paraId="33DF2993"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The following outline includes issues that are typically included in a property settlement agreement. </w:t>
      </w:r>
    </w:p>
    <w:p w14:paraId="134AAA5F"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3276BA4E"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Husband: </w:t>
      </w:r>
    </w:p>
    <w:p w14:paraId="0FD61A3B"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23B8FF62"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Wife: </w:t>
      </w:r>
    </w:p>
    <w:p w14:paraId="0B2A240D"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6AB5CB34"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Date of Marriage: State and County of Marriage: </w:t>
      </w:r>
    </w:p>
    <w:p w14:paraId="5B418AD7"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7C784B18"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Children’s names &amp; DOB’s: </w:t>
      </w:r>
    </w:p>
    <w:p w14:paraId="2DE5D4A0"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651AD02B"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50B0FDDA"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Date last lived together: </w:t>
      </w:r>
    </w:p>
    <w:p w14:paraId="3107742E"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0600D657"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Last joint address: </w:t>
      </w:r>
    </w:p>
    <w:p w14:paraId="692B81F9"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45261A67" w14:textId="77777777" w:rsidR="00194B3F" w:rsidRPr="00701F42"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 xml:space="preserve"> </w:t>
      </w:r>
    </w:p>
    <w:p w14:paraId="09B3390A" w14:textId="632A7680" w:rsidR="00194B3F" w:rsidRDefault="00194B3F" w:rsidP="00DE1828">
      <w:pPr>
        <w:pStyle w:val="NoSpacing"/>
        <w:rPr>
          <w:rFonts w:ascii="Times New Roman" w:hAnsi="Times New Roman" w:cs="Times New Roman"/>
          <w:sz w:val="24"/>
          <w:szCs w:val="24"/>
        </w:rPr>
      </w:pPr>
      <w:r w:rsidRPr="00701F42">
        <w:rPr>
          <w:rFonts w:ascii="Times New Roman" w:hAnsi="Times New Roman" w:cs="Times New Roman"/>
          <w:sz w:val="24"/>
          <w:szCs w:val="24"/>
        </w:rPr>
        <w:t>Preparation and Materials Needed for Mediation of Property Settlement. The following should be considered to be included in the terms of an agreement: (not all information will need to be available at the first meeting)</w:t>
      </w:r>
    </w:p>
    <w:p w14:paraId="6F10F8B2" w14:textId="7921A997" w:rsidR="00B659BE" w:rsidRDefault="00B659BE" w:rsidP="00DE1828">
      <w:pPr>
        <w:pStyle w:val="NoSpacing"/>
        <w:rPr>
          <w:rFonts w:ascii="Times New Roman" w:hAnsi="Times New Roman" w:cs="Times New Roman"/>
          <w:sz w:val="24"/>
          <w:szCs w:val="24"/>
        </w:rPr>
      </w:pPr>
    </w:p>
    <w:p w14:paraId="1B73F979" w14:textId="4FB8BAC3"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Real Property</w:t>
      </w:r>
    </w:p>
    <w:p w14:paraId="7CE1B4EF" w14:textId="110E00E5"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Other Property Owned</w:t>
      </w:r>
    </w:p>
    <w:p w14:paraId="614507F6" w14:textId="17F74918"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Vehicles</w:t>
      </w:r>
    </w:p>
    <w:p w14:paraId="04BBD23F" w14:textId="2E268759"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Household and Personal Property</w:t>
      </w:r>
    </w:p>
    <w:p w14:paraId="17232CA3" w14:textId="696061CD"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Retirement Accounts</w:t>
      </w:r>
    </w:p>
    <w:p w14:paraId="3194DEE6" w14:textId="417E4691"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Monies and Bank Accounts, Checking and Savings</w:t>
      </w:r>
    </w:p>
    <w:p w14:paraId="2465EE83" w14:textId="413FC78C"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Inheritances</w:t>
      </w:r>
    </w:p>
    <w:p w14:paraId="46D72FA8" w14:textId="3EA562A0"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Business Interests</w:t>
      </w:r>
    </w:p>
    <w:p w14:paraId="69C56C63" w14:textId="053C28F9"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Bills and Debts</w:t>
      </w:r>
    </w:p>
    <w:p w14:paraId="6FFC8D0E" w14:textId="48739ECB"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Medical/Hospital Bills or Debts</w:t>
      </w:r>
    </w:p>
    <w:p w14:paraId="169FB4BB" w14:textId="1FC71B0B"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Credit Cards</w:t>
      </w:r>
    </w:p>
    <w:p w14:paraId="3465263A" w14:textId="4667890E"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Loans from Banks/Parents/Others</w:t>
      </w:r>
    </w:p>
    <w:p w14:paraId="0D01A9D8" w14:textId="293ED9A6"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Health Insurance</w:t>
      </w:r>
    </w:p>
    <w:p w14:paraId="6B3087CC" w14:textId="71FEA058"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Life Insurance</w:t>
      </w:r>
    </w:p>
    <w:p w14:paraId="505A4A07" w14:textId="13A2C6BA"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Pets</w:t>
      </w:r>
    </w:p>
    <w:p w14:paraId="66AE9C8B" w14:textId="6B5D331C"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Spousal Support</w:t>
      </w:r>
    </w:p>
    <w:p w14:paraId="717EAC69" w14:textId="60233EA6"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Income Tax Returns</w:t>
      </w:r>
    </w:p>
    <w:p w14:paraId="43274145" w14:textId="59F94C15"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Other (relevant connected family or children issues, etc.)</w:t>
      </w:r>
    </w:p>
    <w:p w14:paraId="4BE8AEB9" w14:textId="072FF197"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Divorce Fees</w:t>
      </w:r>
    </w:p>
    <w:p w14:paraId="5553D68A" w14:textId="22F5B92F" w:rsidR="00B659BE" w:rsidRDefault="00B659BE" w:rsidP="00B659B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Name Change</w:t>
      </w:r>
    </w:p>
    <w:p w14:paraId="47CE1604" w14:textId="482F7E68" w:rsidR="00B659BE" w:rsidRDefault="00B659BE" w:rsidP="00B659BE">
      <w:pPr>
        <w:pStyle w:val="NoSpacing"/>
        <w:rPr>
          <w:rFonts w:ascii="Times New Roman" w:hAnsi="Times New Roman" w:cs="Times New Roman"/>
          <w:sz w:val="24"/>
          <w:szCs w:val="24"/>
        </w:rPr>
      </w:pPr>
    </w:p>
    <w:p w14:paraId="61112549" w14:textId="77777777" w:rsidR="00B659BE" w:rsidRPr="00701F42" w:rsidRDefault="00B659BE" w:rsidP="00B659BE">
      <w:pPr>
        <w:pStyle w:val="NoSpacing"/>
        <w:rPr>
          <w:rFonts w:ascii="Times New Roman" w:hAnsi="Times New Roman" w:cs="Times New Roman"/>
          <w:sz w:val="24"/>
          <w:szCs w:val="24"/>
        </w:rPr>
      </w:pPr>
    </w:p>
    <w:p w14:paraId="0B0C4007" w14:textId="77777777" w:rsidR="00DE1828" w:rsidRPr="00701F42" w:rsidRDefault="00DE1828" w:rsidP="00DE1828">
      <w:pPr>
        <w:pStyle w:val="NoSpacing"/>
        <w:rPr>
          <w:rFonts w:ascii="Times New Roman" w:hAnsi="Times New Roman" w:cs="Times New Roman"/>
          <w:sz w:val="24"/>
          <w:szCs w:val="24"/>
        </w:rPr>
      </w:pPr>
    </w:p>
    <w:p w14:paraId="4FB3FE8E" w14:textId="28B58148" w:rsidR="00194B3F" w:rsidRPr="00194B3F" w:rsidRDefault="00194B3F" w:rsidP="00194B3F">
      <w:pPr>
        <w:rPr>
          <w:rFonts w:ascii="Times New Roman" w:hAnsi="Times New Roman" w:cs="Times New Roman"/>
          <w:b/>
          <w:bCs/>
          <w:sz w:val="32"/>
          <w:szCs w:val="32"/>
        </w:rPr>
      </w:pPr>
      <w:r w:rsidRPr="00194B3F">
        <w:rPr>
          <w:rFonts w:ascii="Times New Roman" w:hAnsi="Times New Roman" w:cs="Times New Roman"/>
          <w:b/>
          <w:bCs/>
          <w:sz w:val="32"/>
          <w:szCs w:val="32"/>
        </w:rPr>
        <w:lastRenderedPageBreak/>
        <w:t xml:space="preserve">Factors Affecting Property Division </w:t>
      </w:r>
    </w:p>
    <w:p w14:paraId="4246A3CA" w14:textId="46AF5746" w:rsidR="00194B3F" w:rsidRPr="00194B3F" w:rsidRDefault="00194B3F" w:rsidP="00194B3F">
      <w:pPr>
        <w:rPr>
          <w:rFonts w:ascii="Times New Roman" w:hAnsi="Times New Roman" w:cs="Times New Roman"/>
          <w:b/>
          <w:bCs/>
          <w:i/>
          <w:iCs/>
          <w:sz w:val="28"/>
          <w:szCs w:val="28"/>
        </w:rPr>
      </w:pPr>
      <w:r w:rsidRPr="00194B3F">
        <w:rPr>
          <w:rFonts w:ascii="Times New Roman" w:hAnsi="Times New Roman" w:cs="Times New Roman"/>
          <w:b/>
          <w:bCs/>
          <w:i/>
          <w:iCs/>
          <w:sz w:val="28"/>
          <w:szCs w:val="28"/>
        </w:rPr>
        <w:t xml:space="preserve">VIRGINIA CODE § 20-107.3. Court may decree as to property of the parties. </w:t>
      </w:r>
    </w:p>
    <w:p w14:paraId="28F0E586"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 [The following is only an excerpt of subpart E. of this code section. Check for latest updates.] E. The amount of any division or transfer of jointly owned marital property, and the amount of any monetary award, the apportionment of marital debts, and the method of payment shall be determined by the court after consideration of the following factors:</w:t>
      </w:r>
    </w:p>
    <w:p w14:paraId="2FC02419"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 1. The contributions, monetary and nonmonetary, of each party to the well-being of the family;</w:t>
      </w:r>
    </w:p>
    <w:p w14:paraId="18468D4B"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2. The contributions, monetary and nonmonetary, of each party in the acquisition and care and maintenance of such marital property of the parties; </w:t>
      </w:r>
    </w:p>
    <w:p w14:paraId="59BBE715" w14:textId="7DBFEB35"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2</w:t>
      </w:r>
      <w:r>
        <w:rPr>
          <w:rFonts w:ascii="Times New Roman" w:hAnsi="Times New Roman" w:cs="Times New Roman"/>
          <w:i/>
          <w:iCs/>
          <w:sz w:val="24"/>
          <w:szCs w:val="24"/>
        </w:rPr>
        <w:t>a</w:t>
      </w:r>
      <w:r w:rsidRPr="00194B3F">
        <w:rPr>
          <w:rFonts w:ascii="Times New Roman" w:hAnsi="Times New Roman" w:cs="Times New Roman"/>
          <w:i/>
          <w:iCs/>
          <w:sz w:val="24"/>
          <w:szCs w:val="24"/>
        </w:rPr>
        <w:t xml:space="preserve">. The duration of the marriage; </w:t>
      </w:r>
    </w:p>
    <w:p w14:paraId="5AC9E200"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3. The ages and physical and mental condition of the parties;</w:t>
      </w:r>
    </w:p>
    <w:p w14:paraId="4BA936E9"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 4. The circumstances and factors which contributed to the dissolution of the marriage, specifically including any ground for divorce under the provisions of subdivisions (1), (3) or (6) of § 20-91 or § 20-95; </w:t>
      </w:r>
    </w:p>
    <w:p w14:paraId="34309F5B"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5. How and when specific items of such marital property were acquired;</w:t>
      </w:r>
    </w:p>
    <w:p w14:paraId="5E98DC56"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 6. The debts and liabilities of each spouse, the basis for such debts and liabilities, and the property which may serve as security for such debts and liabilities; </w:t>
      </w:r>
    </w:p>
    <w:p w14:paraId="099D9FAB"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7. The liquid or nonliquid character of all marital property; </w:t>
      </w:r>
    </w:p>
    <w:p w14:paraId="3344CBBD"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8. The tax consequences to each party; and </w:t>
      </w:r>
    </w:p>
    <w:p w14:paraId="15A1DD9F" w14:textId="77777777" w:rsid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9. The use or expenditure of marital property by either of the parties for a nonmarital separate purpose or the dissipation of such funds, when such was done in anticipation of divorce or separation or after the last separation of the parties; and </w:t>
      </w:r>
    </w:p>
    <w:p w14:paraId="2E740B61" w14:textId="7148EC65" w:rsidR="00194B3F" w:rsidRPr="00194B3F" w:rsidRDefault="00194B3F" w:rsidP="00194B3F">
      <w:pPr>
        <w:rPr>
          <w:rFonts w:ascii="Times New Roman" w:hAnsi="Times New Roman" w:cs="Times New Roman"/>
          <w:i/>
          <w:iCs/>
          <w:sz w:val="24"/>
          <w:szCs w:val="24"/>
        </w:rPr>
      </w:pPr>
      <w:r w:rsidRPr="00194B3F">
        <w:rPr>
          <w:rFonts w:ascii="Times New Roman" w:hAnsi="Times New Roman" w:cs="Times New Roman"/>
          <w:i/>
          <w:iCs/>
          <w:sz w:val="24"/>
          <w:szCs w:val="24"/>
        </w:rPr>
        <w:t xml:space="preserve">10. Such other factors as the court deems necessary or appropriate to consider in order to arrive at a fair and equitable monetary award. </w:t>
      </w:r>
    </w:p>
    <w:p w14:paraId="34E54FF2" w14:textId="77777777" w:rsidR="00194B3F" w:rsidRPr="00194B3F" w:rsidRDefault="00194B3F" w:rsidP="00194B3F">
      <w:pPr>
        <w:rPr>
          <w:rFonts w:ascii="Times New Roman" w:hAnsi="Times New Roman" w:cs="Times New Roman"/>
          <w:sz w:val="24"/>
          <w:szCs w:val="24"/>
        </w:rPr>
      </w:pPr>
      <w:r w:rsidRPr="00194B3F">
        <w:rPr>
          <w:rFonts w:ascii="Times New Roman" w:hAnsi="Times New Roman" w:cs="Times New Roman"/>
          <w:sz w:val="24"/>
          <w:szCs w:val="24"/>
        </w:rPr>
        <w:t xml:space="preserve"> </w:t>
      </w:r>
    </w:p>
    <w:p w14:paraId="6D8BB97D" w14:textId="77777777" w:rsidR="00D767E3" w:rsidRDefault="00D767E3"/>
    <w:sectPr w:rsidR="00D767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5B5B"/>
    <w:multiLevelType w:val="hybridMultilevel"/>
    <w:tmpl w:val="02D02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B3F"/>
    <w:rsid w:val="00194B3F"/>
    <w:rsid w:val="00701F42"/>
    <w:rsid w:val="00B659BE"/>
    <w:rsid w:val="00D767E3"/>
    <w:rsid w:val="00DE1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FC5F4"/>
  <w15:chartTrackingRefBased/>
  <w15:docId w15:val="{7CA063BB-9371-4609-B0C3-3BD4193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18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Chesneau</dc:creator>
  <cp:keywords/>
  <dc:description/>
  <cp:lastModifiedBy>Eva Chesneau</cp:lastModifiedBy>
  <cp:revision>2</cp:revision>
  <dcterms:created xsi:type="dcterms:W3CDTF">2020-07-22T16:18:00Z</dcterms:created>
  <dcterms:modified xsi:type="dcterms:W3CDTF">2020-07-22T16:18:00Z</dcterms:modified>
</cp:coreProperties>
</file>